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游明朝" w:cs="游明朝" w:eastAsia="游明朝" w:hAnsi="游明朝"/>
          <w:b/>
          <w:bCs/>
          <w:color w:val="B5651D"/>
          <w:sz w:val="20"/>
          <w:szCs w:val="20"/>
        </w:rPr>
        <w:t xml:space="preserve">［法人名］　［事業所名］</w:t>
      </w:r>
    </w:p>
    <w:p>
      <w:pPr>
        <w:spacing w:after="200"/>
        <w:jc w:val="center"/>
      </w:pPr>
      <w:r>
        <w:rPr>
          <w:rFonts w:ascii="游明朝" w:cs="游明朝" w:eastAsia="游明朝" w:hAnsi="游明朝"/>
          <w:b/>
          <w:bCs/>
          <w:color w:val="1F3B2C"/>
          <w:sz w:val="36"/>
          <w:szCs w:val="36"/>
        </w:rPr>
        <w:t xml:space="preserve">カスタマーハラスメント対応マニュアル</w:t>
      </w:r>
    </w:p>
    <w:p>
      <w:pPr>
        <w:pBdr>
          <w:top w:val="single" w:color="E0C39A" w:sz="4"/>
          <w:bottom w:val="single" w:color="E0C39A" w:sz="4"/>
          <w:left w:val="single" w:color="E0C39A" w:sz="4"/>
          <w:right w:val="single" w:color="E0C39A" w:sz="4"/>
        </w:pBdr>
        <w:shd w:fill="FBF0E4" w:val="clear"/>
        <w:spacing w:after="300"/>
      </w:pPr>
      <w:r>
        <w:rPr>
          <w:rFonts w:ascii="游明朝" w:cs="游明朝" w:eastAsia="游明朝" w:hAnsi="游明朝"/>
          <w:b/>
          <w:bCs/>
          <w:color w:val="B5651D"/>
          <w:sz w:val="18"/>
          <w:szCs w:val="18"/>
        </w:rPr>
        <w:t xml:space="preserve">【ご利用方法】オレンジ色の［　］部分を、貴事業所の名称・氏名・連絡先に置き換えてご使用ください。置き換え後、この注記行は削除してご利用いただけます。</w:t>
      </w:r>
    </w:p>
    <w:p>
      <w:pPr>
        <w:pStyle w:val="Heading1"/>
        <w:pBdr>
          <w:bottom w:val="single" w:color="2E5339" w:sz="8" w:space="4"/>
        </w:pBdr>
        <w:spacing w:after="160" w:before="320"/>
      </w:pPr>
      <w:r>
        <w:rPr>
          <w:rFonts w:ascii="游明朝" w:cs="游明朝" w:eastAsia="游明朝" w:hAnsi="游明朝"/>
          <w:b/>
          <w:bCs/>
          <w:color w:val="1F3B2C"/>
          <w:sz w:val="26"/>
          <w:szCs w:val="26"/>
        </w:rPr>
        <w:t xml:space="preserve">１．はじめに（目的）</w:t>
      </w:r>
    </w:p>
    <w:p>
      <w:pPr>
        <w:spacing w:after="120" w:line="300"/>
      </w:pPr>
      <w:r>
        <w:rPr>
          <w:rFonts w:ascii="游明朝" w:cs="游明朝" w:eastAsia="游明朝" w:hAnsi="游明朝"/>
          <w:sz w:val="21"/>
          <w:szCs w:val="21"/>
        </w:rPr>
        <w:t xml:space="preserve">当事業所は、利用者様に安心して居宅介護支援サービスをご利用いただくとともに、介護支援専門員をはじめとする職員が心身ともに安全で健全な環境の中で働き続けられるよう、カスタマーハラスメント（以下「カスハラ」という。）に対する組織的な対応方針を本マニュアルに定める。</w:t>
      </w:r>
    </w:p>
    <w:p>
      <w:pPr>
        <w:spacing w:after="120" w:line="300"/>
      </w:pPr>
      <w:r>
        <w:rPr>
          <w:rFonts w:ascii="游明朝" w:cs="游明朝" w:eastAsia="游明朝" w:hAnsi="游明朝"/>
          <w:sz w:val="21"/>
          <w:szCs w:val="21"/>
        </w:rPr>
        <w:t xml:space="preserve">本マニュアルは、令和7年法律第63号による改正労働施策総合推進法（カスハラ対策に関する部分は令和8年10月1日施行）に基づく事業主の雇用管理上の措置義務、及び厚生労働省「介護現場におけるハラスメント対策マニュアル」（令和4年3月改訂）の考え方を踏まえて作成したものである。</w:t>
      </w:r>
    </w:p>
    <w:p>
      <w:pPr>
        <w:spacing w:after="160" w:line="280"/>
        <w:ind w:left="200"/>
      </w:pPr>
      <w:r>
        <w:rPr>
          <w:rFonts w:ascii="游明朝" w:cs="游明朝" w:eastAsia="游明朝" w:hAnsi="游明朝"/>
          <w:i/>
          <w:iCs/>
          <w:color w:val="5A5A5A"/>
          <w:sz w:val="19"/>
          <w:szCs w:val="19"/>
        </w:rPr>
        <w:t xml:space="preserve">※令和8年10月1日以降、労働者を1人でも雇用する全ての事業主に、方針の明確化・相談体制の整備・事後対応・再発防止等の措置を講じることが法律上の義務となる。中小事業所であっても猶予措置はない。</w:t>
      </w:r>
    </w:p>
    <w:p>
      <w:pPr>
        <w:pStyle w:val="Heading1"/>
        <w:pBdr>
          <w:bottom w:val="single" w:color="2E5339" w:sz="8" w:space="4"/>
        </w:pBdr>
        <w:spacing w:after="160" w:before="320"/>
      </w:pPr>
      <w:r>
        <w:rPr>
          <w:rFonts w:ascii="游明朝" w:cs="游明朝" w:eastAsia="游明朝" w:hAnsi="游明朝"/>
          <w:b/>
          <w:bCs/>
          <w:color w:val="1F3B2C"/>
          <w:sz w:val="26"/>
          <w:szCs w:val="26"/>
        </w:rPr>
        <w:t xml:space="preserve">２．本マニュアルの位置づけ</w:t>
      </w:r>
    </w:p>
    <w:p>
      <w:pPr>
        <w:spacing w:after="120" w:line="300"/>
      </w:pPr>
      <w:r>
        <w:rPr>
          <w:rFonts w:ascii="游明朝" w:cs="游明朝" w:eastAsia="游明朝" w:hAnsi="游明朝"/>
          <w:sz w:val="21"/>
          <w:szCs w:val="21"/>
        </w:rPr>
        <w:t xml:space="preserve">本マニュアルは、当事業所の重要事項説明書「１０　カスタマーハラスメントに関する当事業所の考え方」及び利用契約書と一体のものとして運用する。重要事項説明書に記載する基本方針を、職員が現場で具体的に行動できるレベルまで落とし込んだものが本マニュアルである。契約時には、利用者・ご家族に対し重要事項説明書の当該項目を必ず説明し、同意を得る。</w:t>
      </w:r>
    </w:p>
    <w:p>
      <w:pPr>
        <w:pStyle w:val="Heading1"/>
        <w:pBdr>
          <w:bottom w:val="single" w:color="2E5339" w:sz="8" w:space="4"/>
        </w:pBdr>
        <w:spacing w:after="160" w:before="320"/>
      </w:pPr>
      <w:r>
        <w:rPr>
          <w:rFonts w:ascii="游明朝" w:cs="游明朝" w:eastAsia="游明朝" w:hAnsi="游明朝"/>
          <w:b/>
          <w:bCs/>
          <w:color w:val="1F3B2C"/>
          <w:sz w:val="26"/>
          <w:szCs w:val="26"/>
        </w:rPr>
        <w:t xml:space="preserve">３．カスタマーハラスメントの定義</w:t>
      </w:r>
    </w:p>
    <w:p>
      <w:pPr>
        <w:spacing w:after="120" w:line="300"/>
      </w:pPr>
      <w:r>
        <w:rPr>
          <w:rFonts w:ascii="游明朝" w:cs="游明朝" w:eastAsia="游明朝" w:hAnsi="游明朝"/>
          <w:sz w:val="21"/>
          <w:szCs w:val="21"/>
        </w:rPr>
        <w:t xml:space="preserve">改正労働施策総合推進法及び関連指針（令和8年厚生労働省告示第51号）における定義を踏まえ、次の３つの要件をすべて満たすものをカスハラとする。</w:t>
      </w:r>
    </w:p>
    <w:p>
      <w:pPr>
        <w:pStyle w:val="ListParagraph"/>
        <w:numPr>
          <w:ilvl w:val="0"/>
          <w:numId w:val="2"/>
        </w:numPr>
        <w:spacing w:after="60" w:line="280"/>
      </w:pPr>
      <w:r>
        <w:rPr>
          <w:rFonts w:ascii="游明朝" w:cs="游明朝" w:eastAsia="游明朝" w:hAnsi="游明朝"/>
          <w:sz w:val="21"/>
          <w:szCs w:val="21"/>
        </w:rPr>
        <w:t xml:space="preserve">① 利用者・そのご家族その他事業に関係を有する者の言動であって</w:t>
      </w:r>
    </w:p>
    <w:p>
      <w:pPr>
        <w:pStyle w:val="ListParagraph"/>
        <w:numPr>
          <w:ilvl w:val="0"/>
          <w:numId w:val="2"/>
        </w:numPr>
        <w:spacing w:after="60" w:line="280"/>
      </w:pPr>
      <w:r>
        <w:rPr>
          <w:rFonts w:ascii="游明朝" w:cs="游明朝" w:eastAsia="游明朝" w:hAnsi="游明朝"/>
          <w:sz w:val="21"/>
          <w:szCs w:val="21"/>
        </w:rPr>
        <w:t xml:space="preserve">② 介護支援専門員が従事する業務の性質等に照らし、社会通念上許容される範囲を超えたものであり</w:t>
      </w:r>
    </w:p>
    <w:p>
      <w:pPr>
        <w:pStyle w:val="ListParagraph"/>
        <w:numPr>
          <w:ilvl w:val="0"/>
          <w:numId w:val="2"/>
        </w:numPr>
        <w:spacing w:after="60" w:line="280"/>
      </w:pPr>
      <w:r>
        <w:rPr>
          <w:rFonts w:ascii="游明朝" w:cs="游明朝" w:eastAsia="游明朝" w:hAnsi="游明朝"/>
          <w:sz w:val="21"/>
          <w:szCs w:val="21"/>
        </w:rPr>
        <w:t xml:space="preserve">③ それにより職員の就業環境が害されること</w:t>
      </w:r>
    </w:p>
    <w:p>
      <w:pPr>
        <w:spacing w:after="160" w:line="280"/>
        <w:ind w:left="200"/>
      </w:pPr>
      <w:r>
        <w:rPr>
          <w:rFonts w:ascii="游明朝" w:cs="游明朝" w:eastAsia="游明朝" w:hAnsi="游明朝"/>
          <w:i/>
          <w:iCs/>
          <w:color w:val="5A5A5A"/>
          <w:sz w:val="19"/>
          <w:szCs w:val="19"/>
        </w:rPr>
        <w:t xml:space="preserve">※介護サービスに関する正当なご意見・ご要望・苦情はカスハラに該当しない。これまでどおり誠意をもって対応する。</w:t>
      </w:r>
    </w:p>
    <w:p>
      <w:pPr>
        <w:pStyle w:val="Heading1"/>
        <w:pBdr>
          <w:bottom w:val="single" w:color="2E5339" w:sz="8" w:space="4"/>
        </w:pBdr>
        <w:spacing w:after="160" w:before="320"/>
      </w:pPr>
      <w:r>
        <w:rPr>
          <w:rFonts w:ascii="游明朝" w:cs="游明朝" w:eastAsia="游明朝" w:hAnsi="游明朝"/>
          <w:b/>
          <w:bCs/>
          <w:color w:val="1F3B2C"/>
          <w:sz w:val="26"/>
          <w:szCs w:val="26"/>
        </w:rPr>
        <w:t xml:space="preserve">４．カスハラの類型と具体例</w:t>
      </w:r>
    </w:p>
    <w:p>
      <w:pPr>
        <w:spacing w:after="120" w:line="300"/>
      </w:pPr>
      <w:r>
        <w:rPr>
          <w:rFonts w:ascii="游明朝" w:cs="游明朝" w:eastAsia="游明朝" w:hAnsi="游明朝"/>
          <w:sz w:val="21"/>
          <w:szCs w:val="21"/>
        </w:rPr>
        <w:t xml:space="preserve">居宅介護支援の現場（電話対応・訪問・モニタリング等）で想定される類型は次のとおり。</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dxa" w:w="2200"/>
            <w:shd w:fill="E7EEE9" w:val="clear"/>
            <w:tcMar>
              <w:top w:type="dxa" w:w="80"/>
              <w:left w:type="dxa" w:w="120"/>
              <w:bottom w:type="dxa" w:w="80"/>
              <w:right w:type="dxa" w:w="120"/>
            </w:tcMar>
            <w:vAlign w:val="center"/>
          </w:tcPr>
          <w:p>
            <w:r>
              <w:rPr>
                <w:rFonts w:ascii="游明朝" w:cs="游明朝" w:eastAsia="游明朝" w:hAnsi="游明朝"/>
                <w:b/>
                <w:bCs/>
                <w:sz w:val="20"/>
                <w:szCs w:val="20"/>
              </w:rPr>
              <w:t xml:space="preserve">類型</w:t>
            </w:r>
          </w:p>
        </w:tc>
        <w:tc>
          <w:tcPr>
            <w:tcW w:type="dxa" w:w="7150"/>
            <w:shd w:fill="E7EEE9" w:val="clear"/>
            <w:tcMar>
              <w:top w:type="dxa" w:w="80"/>
              <w:left w:type="dxa" w:w="120"/>
              <w:bottom w:type="dxa" w:w="80"/>
              <w:right w:type="dxa" w:w="120"/>
            </w:tcMar>
            <w:vAlign w:val="center"/>
          </w:tcPr>
          <w:p>
            <w:r>
              <w:rPr>
                <w:rFonts w:ascii="游明朝" w:cs="游明朝" w:eastAsia="游明朝" w:hAnsi="游明朝"/>
                <w:b/>
                <w:bCs/>
                <w:sz w:val="20"/>
                <w:szCs w:val="20"/>
              </w:rPr>
              <w:t xml:space="preserve">具体例</w:t>
            </w:r>
          </w:p>
        </w:tc>
      </w:tr>
      <w:tr>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身体的暴力</w:t>
            </w:r>
          </w:p>
        </w:tc>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殴る・蹴る・物を投げつける・行く手を塞ぐ等</w:t>
            </w:r>
          </w:p>
        </w:tc>
      </w:tr>
      <w:tr>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精神的暴力</w:t>
            </w:r>
          </w:p>
        </w:tc>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大声での叱責、威圧的な言動、人格を否定する発言、差別的な言動、土下座の要求等</w:t>
            </w:r>
          </w:p>
        </w:tc>
      </w:tr>
      <w:tr>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セクシュアルハラスメント</w:t>
            </w:r>
          </w:p>
        </w:tc>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不必要な身体接触、性的な話題の強要、卑猥な言動等</w:t>
            </w:r>
          </w:p>
        </w:tc>
      </w:tr>
      <w:tr>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過剰要求</w:t>
            </w:r>
          </w:p>
        </w:tc>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契約・制度上の業務範囲を超えたサービスの要求、時間外・緊急性のない呼び出しの繰り返し</w:t>
            </w:r>
          </w:p>
        </w:tc>
      </w:tr>
      <w:tr>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執拗なクレーム・拘束</w:t>
            </w:r>
          </w:p>
        </w:tc>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長時間にわたる同一内容の要望・電話・面談の繰り返し、担当者交代の執拗な要求</w:t>
            </w:r>
          </w:p>
        </w:tc>
      </w:tr>
      <w:tr>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SNS等での攻撃</w:t>
            </w:r>
          </w:p>
        </w:tc>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職員個人を特定した誹謗中傷、無断撮影・SNS投稿等</w:t>
            </w:r>
          </w:p>
        </w:tc>
      </w:tr>
    </w:tbl>
    <w:p>
      <w:pPr>
        <w:pStyle w:val="Heading1"/>
        <w:pBdr>
          <w:bottom w:val="single" w:color="2E5339" w:sz="8" w:space="4"/>
        </w:pBdr>
        <w:spacing w:after="160" w:before="320"/>
      </w:pPr>
      <w:r>
        <w:rPr>
          <w:rFonts w:ascii="游明朝" w:cs="游明朝" w:eastAsia="游明朝" w:hAnsi="游明朝"/>
          <w:b/>
          <w:bCs/>
          <w:color w:val="1F3B2C"/>
          <w:sz w:val="26"/>
          <w:szCs w:val="26"/>
        </w:rPr>
        <w:t xml:space="preserve">５．認知症の周辺症状（ＢＰＳＤ）との切り分け</w:t>
      </w:r>
    </w:p>
    <w:p>
      <w:pPr>
        <w:spacing w:after="120" w:line="300"/>
      </w:pPr>
      <w:r>
        <w:rPr>
          <w:rFonts w:ascii="游明朝" w:cs="游明朝" w:eastAsia="游明朝" w:hAnsi="游明朝"/>
          <w:sz w:val="21"/>
          <w:szCs w:val="21"/>
        </w:rPr>
        <w:t xml:space="preserve">認知症の診断を受けている、又はその疑いがある利用者からの暴言・暴力等は、まずＢＰＳＤ（行動・心理症状）の可能性を前提に対応を検討する。「もの盗られ妄想」等の症状はカスハラではなく、疾患による症状として介護・医療の視点で対応する必要がある。</w:t>
      </w:r>
    </w:p>
    <w:p>
      <w:pPr>
        <w:spacing w:after="120" w:line="300"/>
      </w:pPr>
      <w:r>
        <w:rPr>
          <w:rFonts w:ascii="游明朝" w:cs="游明朝" w:eastAsia="游明朝" w:hAnsi="游明朝"/>
          <w:sz w:val="21"/>
          <w:szCs w:val="21"/>
        </w:rPr>
        <w:t xml:space="preserve">カスハラかＢＰＳＤかの判断は事業所内だけで即断せず、利用者の主治医（かかりつけ医）、地域包括支援センター等の意見も確認しながら行う。ＢＰＳＤに起因する言動であっても職員の安全確保は別途必要であり、対応方法は職員会議等で個別に検討・共有する。</w:t>
      </w:r>
    </w:p>
    <w:p>
      <w:pPr>
        <w:pStyle w:val="Heading1"/>
        <w:pBdr>
          <w:bottom w:val="single" w:color="2E5339" w:sz="8" w:space="4"/>
        </w:pBdr>
        <w:spacing w:after="160" w:before="320"/>
      </w:pPr>
      <w:r>
        <w:rPr>
          <w:rFonts w:ascii="游明朝" w:cs="游明朝" w:eastAsia="游明朝" w:hAnsi="游明朝"/>
          <w:b/>
          <w:bCs/>
          <w:color w:val="1F3B2C"/>
          <w:sz w:val="26"/>
          <w:szCs w:val="26"/>
        </w:rPr>
        <w:t xml:space="preserve">６．基本方針</w:t>
      </w:r>
    </w:p>
    <w:p>
      <w:pPr>
        <w:pStyle w:val="ListParagraph"/>
        <w:numPr>
          <w:ilvl w:val="0"/>
          <w:numId w:val="2"/>
        </w:numPr>
        <w:spacing w:after="60" w:line="280"/>
      </w:pPr>
      <w:r>
        <w:rPr>
          <w:rFonts w:ascii="游明朝" w:cs="游明朝" w:eastAsia="游明朝" w:hAnsi="游明朝"/>
          <w:sz w:val="21"/>
          <w:szCs w:val="21"/>
        </w:rPr>
        <w:t xml:space="preserve">組織的に対応する。担当職員一人に抱え込ませない。</w:t>
      </w:r>
    </w:p>
    <w:p>
      <w:pPr>
        <w:pStyle w:val="ListParagraph"/>
        <w:numPr>
          <w:ilvl w:val="0"/>
          <w:numId w:val="2"/>
        </w:numPr>
        <w:spacing w:after="60" w:line="280"/>
      </w:pPr>
      <w:r>
        <w:rPr>
          <w:rFonts w:ascii="游明朝" w:cs="游明朝" w:eastAsia="游明朝" w:hAnsi="游明朝"/>
          <w:sz w:val="21"/>
          <w:szCs w:val="21"/>
        </w:rPr>
        <w:t xml:space="preserve">事実確認を最優先し、記録に基づいて対応方針を決定する。</w:t>
      </w:r>
    </w:p>
    <w:p>
      <w:pPr>
        <w:pStyle w:val="ListParagraph"/>
        <w:numPr>
          <w:ilvl w:val="0"/>
          <w:numId w:val="2"/>
        </w:numPr>
        <w:spacing w:after="60" w:line="280"/>
      </w:pPr>
      <w:r>
        <w:rPr>
          <w:rFonts w:ascii="游明朝" w:cs="游明朝" w:eastAsia="游明朝" w:hAnsi="游明朝"/>
          <w:sz w:val="21"/>
          <w:szCs w:val="21"/>
        </w:rPr>
        <w:t xml:space="preserve">悪質性が高いと判断した場合は、複数名対応・サービス提供方法の見直し・契約解除等を組織として検討する。</w:t>
      </w:r>
    </w:p>
    <w:p>
      <w:pPr>
        <w:pStyle w:val="ListParagraph"/>
        <w:numPr>
          <w:ilvl w:val="0"/>
          <w:numId w:val="2"/>
        </w:numPr>
        <w:spacing w:after="60" w:line="280"/>
      </w:pPr>
      <w:r>
        <w:rPr>
          <w:rFonts w:ascii="游明朝" w:cs="游明朝" w:eastAsia="游明朝" w:hAnsi="游明朝"/>
          <w:sz w:val="21"/>
          <w:szCs w:val="21"/>
        </w:rPr>
        <w:t xml:space="preserve">正当なご意見・ご要望・苦情には、これまでどおり誠意をもって対応する。</w:t>
      </w:r>
    </w:p>
    <w:p>
      <w:pPr>
        <w:pStyle w:val="ListParagraph"/>
        <w:numPr>
          <w:ilvl w:val="0"/>
          <w:numId w:val="2"/>
        </w:numPr>
        <w:spacing w:after="60" w:line="280"/>
      </w:pPr>
      <w:r>
        <w:rPr>
          <w:rFonts w:ascii="游明朝" w:cs="游明朝" w:eastAsia="游明朝" w:hAnsi="游明朝"/>
          <w:sz w:val="21"/>
          <w:szCs w:val="21"/>
        </w:rPr>
        <w:t xml:space="preserve">被害を受けた職員のプライバシーに配慮し、不利益な取り扱いは行わない。</w:t>
      </w:r>
    </w:p>
    <w:p>
      <w:pPr>
        <w:pStyle w:val="Heading1"/>
        <w:pBdr>
          <w:bottom w:val="single" w:color="2E5339" w:sz="8" w:space="4"/>
        </w:pBdr>
        <w:spacing w:after="160" w:before="320"/>
      </w:pPr>
      <w:r>
        <w:rPr>
          <w:rFonts w:ascii="游明朝" w:cs="游明朝" w:eastAsia="游明朝" w:hAnsi="游明朝"/>
          <w:b/>
          <w:bCs/>
          <w:color w:val="1F3B2C"/>
          <w:sz w:val="26"/>
          <w:szCs w:val="26"/>
        </w:rPr>
        <w:t xml:space="preserve">７．未然防止の取組</w:t>
      </w:r>
    </w:p>
    <w:p>
      <w:pPr>
        <w:pStyle w:val="ListParagraph"/>
        <w:numPr>
          <w:ilvl w:val="0"/>
          <w:numId w:val="2"/>
        </w:numPr>
        <w:spacing w:after="60" w:line="280"/>
      </w:pPr>
      <w:r>
        <w:rPr>
          <w:rFonts w:ascii="游明朝" w:cs="游明朝" w:eastAsia="游明朝" w:hAnsi="游明朝"/>
          <w:sz w:val="21"/>
          <w:szCs w:val="21"/>
        </w:rPr>
        <w:t xml:space="preserve">契約時に重要事項説明書でカスハラに関する当事業所の考え方を説明し、同意を得る。</w:t>
      </w:r>
    </w:p>
    <w:p>
      <w:pPr>
        <w:pStyle w:val="ListParagraph"/>
        <w:numPr>
          <w:ilvl w:val="0"/>
          <w:numId w:val="2"/>
        </w:numPr>
        <w:spacing w:after="60" w:line="280"/>
      </w:pPr>
      <w:r>
        <w:rPr>
          <w:rFonts w:ascii="游明朝" w:cs="游明朝" w:eastAsia="游明朝" w:hAnsi="游明朝"/>
          <w:sz w:val="21"/>
          <w:szCs w:val="21"/>
        </w:rPr>
        <w:t xml:space="preserve">訪問時は事前に緊急連絡先・状況を事業所内で共有し、必要に応じ複数名対応を検討する（訪問系サービスでは複数名対応加算の活用も含め、担当利用者に助言する）。</w:t>
      </w:r>
    </w:p>
    <w:p>
      <w:pPr>
        <w:pStyle w:val="ListParagraph"/>
        <w:numPr>
          <w:ilvl w:val="0"/>
          <w:numId w:val="2"/>
        </w:numPr>
        <w:spacing w:after="60" w:line="280"/>
      </w:pPr>
      <w:r>
        <w:rPr>
          <w:rFonts w:ascii="游明朝" w:cs="游明朝" w:eastAsia="游明朝" w:hAnsi="游明朝"/>
          <w:sz w:val="21"/>
          <w:szCs w:val="21"/>
        </w:rPr>
        <w:t xml:space="preserve">職員の氏名表示・名札の取り扱いに配慮する（フルネーム表示を避ける等）。</w:t>
      </w:r>
    </w:p>
    <w:p>
      <w:pPr>
        <w:pStyle w:val="ListParagraph"/>
        <w:numPr>
          <w:ilvl w:val="0"/>
          <w:numId w:val="2"/>
        </w:numPr>
        <w:spacing w:after="60" w:line="280"/>
      </w:pPr>
      <w:r>
        <w:rPr>
          <w:rFonts w:ascii="游明朝" w:cs="游明朝" w:eastAsia="游明朝" w:hAnsi="游明朝"/>
          <w:sz w:val="21"/>
          <w:szCs w:val="21"/>
        </w:rPr>
        <w:t xml:space="preserve">携帯電話等の記録機器を携行し、必要に応じて通話・面談の録音を行う（あらかじめ利用者・ご家族に周知のうえ実施する）。</w:t>
      </w:r>
    </w:p>
    <w:p>
      <w:pPr>
        <w:pStyle w:val="Heading1"/>
        <w:pBdr>
          <w:bottom w:val="single" w:color="2E5339" w:sz="8" w:space="4"/>
        </w:pBdr>
        <w:spacing w:after="160" w:before="320"/>
      </w:pPr>
      <w:r>
        <w:rPr>
          <w:rFonts w:ascii="游明朝" w:cs="游明朝" w:eastAsia="游明朝" w:hAnsi="游明朝"/>
          <w:b/>
          <w:bCs/>
          <w:color w:val="1F3B2C"/>
          <w:sz w:val="26"/>
          <w:szCs w:val="26"/>
        </w:rPr>
        <w:t xml:space="preserve">８．発生時の対応フロー</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dxa" w:w="1200"/>
            <w:shd w:fill="E7EEE9" w:val="clear"/>
            <w:tcMar>
              <w:top w:type="dxa" w:w="80"/>
              <w:left w:type="dxa" w:w="120"/>
              <w:bottom w:type="dxa" w:w="80"/>
              <w:right w:type="dxa" w:w="120"/>
            </w:tcMar>
            <w:vAlign w:val="center"/>
          </w:tcPr>
          <w:p>
            <w:r>
              <w:rPr>
                <w:rFonts w:ascii="游明朝" w:cs="游明朝" w:eastAsia="游明朝" w:hAnsi="游明朝"/>
                <w:b/>
                <w:bCs/>
                <w:sz w:val="20"/>
                <w:szCs w:val="20"/>
              </w:rPr>
              <w:t xml:space="preserve">STEP</w:t>
            </w:r>
          </w:p>
        </w:tc>
        <w:tc>
          <w:tcPr>
            <w:tcW w:type="dxa" w:w="8150"/>
            <w:shd w:fill="E7EEE9" w:val="clear"/>
            <w:tcMar>
              <w:top w:type="dxa" w:w="80"/>
              <w:left w:type="dxa" w:w="120"/>
              <w:bottom w:type="dxa" w:w="80"/>
              <w:right w:type="dxa" w:w="120"/>
            </w:tcMar>
            <w:vAlign w:val="center"/>
          </w:tcPr>
          <w:p>
            <w:r>
              <w:rPr>
                <w:rFonts w:ascii="游明朝" w:cs="游明朝" w:eastAsia="游明朝" w:hAnsi="游明朝"/>
                <w:b/>
                <w:bCs/>
                <w:sz w:val="20"/>
                <w:szCs w:val="20"/>
              </w:rPr>
              <w:t xml:space="preserve">内容</w:t>
            </w:r>
          </w:p>
        </w:tc>
      </w:tr>
      <w:tr>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１</w:t>
            </w:r>
          </w:p>
        </w:tc>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身の安全確保。可能であればその場を離れる（訪問中の緊急時は無理をしない）。</w:t>
            </w:r>
          </w:p>
        </w:tc>
      </w:tr>
      <w:tr>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２</w:t>
            </w:r>
          </w:p>
        </w:tc>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管理者へ速やかに報告（電話可）。一人で抱え込まず、必ずその日のうちに共有する。</w:t>
            </w:r>
          </w:p>
        </w:tc>
      </w:tr>
      <w:tr>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３</w:t>
            </w:r>
          </w:p>
        </w:tc>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管理者が事実確認を行う（本人・関係者・記録等）。必要に応じ主治医・地域包括支援センターに相談。</w:t>
            </w:r>
          </w:p>
        </w:tc>
      </w:tr>
      <w:tr>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４</w:t>
            </w:r>
          </w:p>
        </w:tc>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対応方針を決定：複数名対応／担当変更／市町村・国保連への相談／警察通報の要否等。</w:t>
            </w:r>
          </w:p>
        </w:tc>
      </w:tr>
      <w:tr>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５</w:t>
            </w:r>
          </w:p>
        </w:tc>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被害職員のフォロー（メンタルヘルスケア、必要な休養、業務調整）。</w:t>
            </w:r>
          </w:p>
        </w:tc>
      </w:tr>
      <w:tr>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６</w:t>
            </w:r>
          </w:p>
        </w:tc>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記録を保存し、再発防止策を検討・職員間で共有する。</w:t>
            </w:r>
          </w:p>
        </w:tc>
      </w:tr>
    </w:tbl>
    <w:p>
      <w:pPr>
        <w:pStyle w:val="Heading1"/>
        <w:pBdr>
          <w:bottom w:val="single" w:color="2E5339" w:sz="8" w:space="4"/>
        </w:pBdr>
        <w:spacing w:after="160" w:before="320"/>
      </w:pPr>
      <w:r>
        <w:rPr>
          <w:rFonts w:ascii="游明朝" w:cs="游明朝" w:eastAsia="游明朝" w:hAnsi="游明朝"/>
          <w:b/>
          <w:bCs/>
          <w:color w:val="1F3B2C"/>
          <w:sz w:val="26"/>
          <w:szCs w:val="26"/>
        </w:rPr>
        <w:t xml:space="preserve">９．相談・報告窓口</w:t>
      </w:r>
    </w:p>
    <w:p>
      <w:pPr>
        <w:spacing w:after="120" w:line="300"/>
      </w:pPr>
      <w:r>
        <w:rPr>
          <w:rFonts w:ascii="游明朝" w:cs="游明朝" w:eastAsia="游明朝" w:hAnsi="游明朝"/>
          <w:sz w:val="21"/>
          <w:szCs w:val="21"/>
        </w:rPr>
        <w:t xml:space="preserve">当事業所お客様相談窓口を、ハラスメント相談窓口として兼務する。</w:t>
      </w:r>
    </w:p>
    <w:p>
      <w:pPr>
        <w:pStyle w:val="ListParagraph"/>
        <w:numPr>
          <w:ilvl w:val="0"/>
          <w:numId w:val="2"/>
        </w:numPr>
        <w:spacing w:after="60" w:line="280"/>
      </w:pPr>
      <w:r>
        <w:rPr>
          <w:rFonts w:ascii="游明朝" w:cs="游明朝" w:eastAsia="游明朝" w:hAnsi="游明朝"/>
          <w:sz w:val="21"/>
          <w:szCs w:val="21"/>
        </w:rPr>
        <w:t xml:space="preserve">責任者：</w:t>
      </w:r>
      <w:r>
        <w:rPr>
          <w:rFonts w:ascii="游明朝" w:cs="游明朝" w:eastAsia="游明朝" w:hAnsi="游明朝"/>
          <w:b/>
          <w:bCs/>
          <w:color w:val="B5651D"/>
          <w:sz w:val="21"/>
          <w:szCs w:val="21"/>
        </w:rPr>
        <w:t xml:space="preserve">［氏名］</w:t>
      </w:r>
      <w:r>
        <w:rPr>
          <w:rFonts w:ascii="游明朝" w:cs="游明朝" w:eastAsia="游明朝" w:hAnsi="游明朝"/>
          <w:sz w:val="21"/>
          <w:szCs w:val="21"/>
        </w:rPr>
        <w:t xml:space="preserve">（重要事項説明書に定める虐待防止責任者と同一）</w:t>
      </w:r>
    </w:p>
    <w:p>
      <w:pPr>
        <w:pStyle w:val="ListParagraph"/>
        <w:numPr>
          <w:ilvl w:val="0"/>
          <w:numId w:val="2"/>
        </w:numPr>
        <w:spacing w:after="60" w:line="280"/>
      </w:pPr>
      <w:r>
        <w:rPr>
          <w:rFonts w:ascii="游明朝" w:cs="游明朝" w:eastAsia="游明朝" w:hAnsi="游明朝"/>
          <w:sz w:val="21"/>
          <w:szCs w:val="21"/>
        </w:rPr>
        <w:t xml:space="preserve">電話：</w:t>
      </w:r>
      <w:r>
        <w:rPr>
          <w:rFonts w:ascii="游明朝" w:cs="游明朝" w:eastAsia="游明朝" w:hAnsi="游明朝"/>
          <w:b/>
          <w:bCs/>
          <w:color w:val="B5651D"/>
          <w:sz w:val="21"/>
          <w:szCs w:val="21"/>
        </w:rPr>
        <w:t xml:space="preserve">［電話番号］</w:t>
      </w:r>
      <w:r>
        <w:rPr>
          <w:rFonts w:ascii="游明朝" w:cs="游明朝" w:eastAsia="游明朝" w:hAnsi="游明朝"/>
          <w:sz w:val="21"/>
          <w:szCs w:val="21"/>
        </w:rPr>
        <w:t xml:space="preserve">　受付時間：</w:t>
      </w:r>
      <w:r>
        <w:rPr>
          <w:rFonts w:ascii="游明朝" w:cs="游明朝" w:eastAsia="游明朝" w:hAnsi="游明朝"/>
          <w:b/>
          <w:bCs/>
          <w:color w:val="B5651D"/>
          <w:sz w:val="21"/>
          <w:szCs w:val="21"/>
        </w:rPr>
        <w:t xml:space="preserve">［受付時間］</w:t>
      </w:r>
    </w:p>
    <w:p>
      <w:pPr>
        <w:spacing w:after="160" w:line="280"/>
        <w:ind w:left="200"/>
      </w:pPr>
      <w:r>
        <w:rPr>
          <w:rFonts w:ascii="游明朝" w:cs="游明朝" w:eastAsia="游明朝" w:hAnsi="游明朝"/>
          <w:i/>
          <w:iCs/>
          <w:color w:val="5A5A5A"/>
          <w:sz w:val="19"/>
          <w:szCs w:val="19"/>
        </w:rPr>
        <w:t xml:space="preserve">※相談は被害が実際に発生した場合に限らず、発生のおそれがある場合や判断に迷う場合も対象とする。</w:t>
      </w:r>
    </w:p>
    <w:p>
      <w:pPr>
        <w:pStyle w:val="Heading1"/>
        <w:pBdr>
          <w:bottom w:val="single" w:color="2E5339" w:sz="8" w:space="4"/>
        </w:pBdr>
        <w:spacing w:after="160" w:before="320"/>
      </w:pPr>
      <w:r>
        <w:rPr>
          <w:rFonts w:ascii="游明朝" w:cs="游明朝" w:eastAsia="游明朝" w:hAnsi="游明朝"/>
          <w:b/>
          <w:bCs/>
          <w:color w:val="1F3B2C"/>
          <w:sz w:val="26"/>
          <w:szCs w:val="26"/>
        </w:rPr>
        <w:t xml:space="preserve">１０．外部相談・連携先</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dxa" w:w="3200"/>
            <w:shd w:fill="E7EEE9" w:val="clear"/>
            <w:tcMar>
              <w:top w:type="dxa" w:w="80"/>
              <w:left w:type="dxa" w:w="120"/>
              <w:bottom w:type="dxa" w:w="80"/>
              <w:right w:type="dxa" w:w="120"/>
            </w:tcMar>
            <w:vAlign w:val="center"/>
          </w:tcPr>
          <w:p>
            <w:r>
              <w:rPr>
                <w:rFonts w:ascii="游明朝" w:cs="游明朝" w:eastAsia="游明朝" w:hAnsi="游明朝"/>
                <w:b/>
                <w:bCs/>
                <w:sz w:val="20"/>
                <w:szCs w:val="20"/>
              </w:rPr>
              <w:t xml:space="preserve">相談先</w:t>
            </w:r>
          </w:p>
        </w:tc>
        <w:tc>
          <w:tcPr>
            <w:tcW w:type="dxa" w:w="6150"/>
            <w:shd w:fill="E7EEE9" w:val="clear"/>
            <w:tcMar>
              <w:top w:type="dxa" w:w="80"/>
              <w:left w:type="dxa" w:w="120"/>
              <w:bottom w:type="dxa" w:w="80"/>
              <w:right w:type="dxa" w:w="120"/>
            </w:tcMar>
            <w:vAlign w:val="center"/>
          </w:tcPr>
          <w:p>
            <w:r>
              <w:rPr>
                <w:rFonts w:ascii="游明朝" w:cs="游明朝" w:eastAsia="游明朝" w:hAnsi="游明朝"/>
                <w:b/>
                <w:bCs/>
                <w:sz w:val="20"/>
                <w:szCs w:val="20"/>
              </w:rPr>
              <w:t xml:space="preserve">連絡先</w:t>
            </w:r>
          </w:p>
        </w:tc>
      </w:tr>
      <w:tr>
        <w:tc>
          <w:tcPr>
            <w:tcMar>
              <w:top w:type="dxa" w:w="80"/>
              <w:left w:type="dxa" w:w="120"/>
              <w:bottom w:type="dxa" w:w="80"/>
              <w:right w:type="dxa" w:w="120"/>
            </w:tcMar>
            <w:vAlign w:val="center"/>
          </w:tcPr>
          <w:p>
            <w:r>
              <w:rPr>
                <w:rFonts w:ascii="游明朝" w:cs="游明朝" w:eastAsia="游明朝" w:hAnsi="游明朝"/>
                <w:b/>
                <w:bCs/>
                <w:color w:val="B5651D"/>
                <w:sz w:val="20"/>
                <w:szCs w:val="20"/>
              </w:rPr>
              <w:t xml:space="preserve">［市区町村名］</w:t>
            </w:r>
            <w:r>
              <w:rPr>
                <w:rFonts w:ascii="游明朝" w:cs="游明朝" w:eastAsia="游明朝" w:hAnsi="游明朝"/>
                <w:b w:val="false"/>
                <w:bCs w:val="false"/>
                <w:sz w:val="20"/>
                <w:szCs w:val="20"/>
              </w:rPr>
              <w:t xml:space="preserve">役所　高齢介護福祉課（介護事業指導担当）</w:t>
            </w:r>
          </w:p>
        </w:tc>
        <w:tc>
          <w:tcPr>
            <w:tcMar>
              <w:top w:type="dxa" w:w="80"/>
              <w:left w:type="dxa" w:w="120"/>
              <w:bottom w:type="dxa" w:w="80"/>
              <w:right w:type="dxa" w:w="120"/>
            </w:tcMar>
            <w:vAlign w:val="center"/>
          </w:tcPr>
          <w:p>
            <w:r>
              <w:rPr>
                <w:rFonts w:ascii="游明朝" w:cs="游明朝" w:eastAsia="游明朝" w:hAnsi="游明朝"/>
                <w:b/>
                <w:bCs/>
                <w:color w:val="B5651D"/>
                <w:sz w:val="20"/>
                <w:szCs w:val="20"/>
              </w:rPr>
              <w:t xml:space="preserve">［電話番号］</w:t>
            </w:r>
          </w:p>
        </w:tc>
      </w:tr>
      <w:tr>
        <w:tc>
          <w:tcPr>
            <w:tcMar>
              <w:top w:type="dxa" w:w="80"/>
              <w:left w:type="dxa" w:w="120"/>
              <w:bottom w:type="dxa" w:w="80"/>
              <w:right w:type="dxa" w:w="120"/>
            </w:tcMar>
            <w:vAlign w:val="center"/>
          </w:tcPr>
          <w:p>
            <w:r>
              <w:rPr>
                <w:rFonts w:ascii="游明朝" w:cs="游明朝" w:eastAsia="游明朝" w:hAnsi="游明朝"/>
                <w:b/>
                <w:bCs/>
                <w:color w:val="B5651D"/>
                <w:sz w:val="20"/>
                <w:szCs w:val="20"/>
              </w:rPr>
              <w:t xml:space="preserve">［都道府県名］</w:t>
            </w:r>
            <w:r>
              <w:rPr>
                <w:rFonts w:ascii="游明朝" w:cs="游明朝" w:eastAsia="游明朝" w:hAnsi="游明朝"/>
                <w:b w:val="false"/>
                <w:bCs w:val="false"/>
                <w:sz w:val="20"/>
                <w:szCs w:val="20"/>
              </w:rPr>
              <w:t xml:space="preserve">国民健康保険団体連合会</w:t>
            </w:r>
          </w:p>
        </w:tc>
        <w:tc>
          <w:tcPr>
            <w:tcMar>
              <w:top w:type="dxa" w:w="80"/>
              <w:left w:type="dxa" w:w="120"/>
              <w:bottom w:type="dxa" w:w="80"/>
              <w:right w:type="dxa" w:w="120"/>
            </w:tcMar>
            <w:vAlign w:val="center"/>
          </w:tcPr>
          <w:p>
            <w:r>
              <w:rPr>
                <w:rFonts w:ascii="游明朝" w:cs="游明朝" w:eastAsia="游明朝" w:hAnsi="游明朝"/>
                <w:b/>
                <w:bCs/>
                <w:color w:val="B5651D"/>
                <w:sz w:val="20"/>
                <w:szCs w:val="20"/>
              </w:rPr>
              <w:t xml:space="preserve">［電話番号］</w:t>
            </w:r>
          </w:p>
        </w:tc>
      </w:tr>
      <w:tr>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警察（緊急時）</w:t>
            </w:r>
          </w:p>
        </w:tc>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110</w:t>
            </w:r>
          </w:p>
        </w:tc>
      </w:tr>
      <w:tr>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顧問弁護士・社労士等</w:t>
            </w:r>
          </w:p>
        </w:tc>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（契約があれば記載）</w:t>
            </w:r>
          </w:p>
        </w:tc>
      </w:tr>
    </w:tbl>
    <w:p>
      <w:pPr>
        <w:pStyle w:val="Heading1"/>
        <w:pBdr>
          <w:bottom w:val="single" w:color="2E5339" w:sz="8" w:space="4"/>
        </w:pBdr>
        <w:spacing w:after="160" w:before="320"/>
      </w:pPr>
      <w:r>
        <w:rPr>
          <w:rFonts w:ascii="游明朝" w:cs="游明朝" w:eastAsia="游明朝" w:hAnsi="游明朝"/>
          <w:b/>
          <w:bCs/>
          <w:color w:val="1F3B2C"/>
          <w:sz w:val="26"/>
          <w:szCs w:val="26"/>
        </w:rPr>
        <w:t xml:space="preserve">１１．サービス提供の中止・契約解除の検討基準</w:t>
      </w:r>
    </w:p>
    <w:p>
      <w:pPr>
        <w:spacing w:after="120" w:line="300"/>
      </w:pPr>
      <w:r>
        <w:rPr>
          <w:rFonts w:ascii="游明朝" w:cs="游明朝" w:eastAsia="游明朝" w:hAnsi="游明朝"/>
          <w:sz w:val="21"/>
          <w:szCs w:val="21"/>
        </w:rPr>
        <w:t xml:space="preserve">身体的暴力・脅迫等、犯罪に該当しうる行為が確認された場合や、改善の申し入れ後も行為が継続する場合は、複数名対応への切り替え、他事業者の紹介、契約解除等を組織として検討する。一方的な契約解除は利用者の在宅生活に重大な影響を及ぼすため、必ず市町村・地域包括支援センター等の関係機関と連携のうえ、慎重に判断する。</w:t>
      </w:r>
    </w:p>
    <w:p>
      <w:pPr>
        <w:pStyle w:val="Heading1"/>
        <w:pBdr>
          <w:bottom w:val="single" w:color="2E5339" w:sz="8" w:space="4"/>
        </w:pBdr>
        <w:spacing w:after="160" w:before="320"/>
      </w:pPr>
      <w:r>
        <w:rPr>
          <w:rFonts w:ascii="游明朝" w:cs="游明朝" w:eastAsia="游明朝" w:hAnsi="游明朝"/>
          <w:b/>
          <w:bCs/>
          <w:color w:val="1F3B2C"/>
          <w:sz w:val="26"/>
          <w:szCs w:val="26"/>
        </w:rPr>
        <w:t xml:space="preserve">１２．職員研修</w:t>
      </w:r>
    </w:p>
    <w:p>
      <w:pPr>
        <w:spacing w:after="120" w:line="300"/>
      </w:pPr>
      <w:r>
        <w:rPr>
          <w:rFonts w:ascii="游明朝" w:cs="游明朝" w:eastAsia="游明朝" w:hAnsi="游明朝"/>
          <w:sz w:val="21"/>
          <w:szCs w:val="21"/>
        </w:rPr>
        <w:t xml:space="preserve">年1回以上、本マニュアルの内容及び対応事例に関する研修を実施する。新規採用時には、オリエンテーションにおいて必ず説明する。</w:t>
      </w:r>
    </w:p>
    <w:p>
      <w:pPr>
        <w:pStyle w:val="Heading1"/>
        <w:pBdr>
          <w:bottom w:val="single" w:color="2E5339" w:sz="8" w:space="4"/>
        </w:pBdr>
        <w:spacing w:after="160" w:before="320"/>
      </w:pPr>
      <w:r>
        <w:rPr>
          <w:rFonts w:ascii="游明朝" w:cs="游明朝" w:eastAsia="游明朝" w:hAnsi="游明朝"/>
          <w:b/>
          <w:bCs/>
          <w:color w:val="1F3B2C"/>
          <w:sz w:val="26"/>
          <w:szCs w:val="26"/>
        </w:rPr>
        <w:t xml:space="preserve">１３．見直し</w:t>
      </w:r>
    </w:p>
    <w:p>
      <w:pPr>
        <w:spacing w:after="120" w:line="300"/>
      </w:pPr>
      <w:r>
        <w:rPr>
          <w:rFonts w:ascii="游明朝" w:cs="游明朝" w:eastAsia="游明朝" w:hAnsi="游明朝"/>
          <w:sz w:val="21"/>
          <w:szCs w:val="21"/>
        </w:rPr>
        <w:t xml:space="preserve">法令改正（令和8年10月1日施行のカスハラ対策義務化を含む）や運用状況を踏まえ、必要に応じて本マニュアルを改定する。</w:t>
      </w:r>
    </w:p>
    <w:p>
      <w:pPr>
        <w:spacing w:after="100" w:before="400"/>
        <w:jc w:val="right"/>
      </w:pPr>
      <w:r>
        <w:rPr>
          <w:rFonts w:ascii="游明朝" w:cs="游明朝" w:eastAsia="游明朝" w:hAnsi="游明朝"/>
          <w:sz w:val="21"/>
          <w:szCs w:val="21"/>
        </w:rPr>
        <w:t xml:space="preserve">制定：令和　　年　　月　　日</w:t>
      </w:r>
    </w:p>
    <w:p>
      <w:pPr>
        <w:jc w:val="right"/>
      </w:pPr>
      <w:r>
        <w:rPr>
          <w:rFonts w:ascii="游明朝" w:cs="游明朝" w:eastAsia="游明朝" w:hAnsi="游明朝"/>
          <w:b/>
          <w:bCs/>
          <w:color w:val="B5651D"/>
          <w:sz w:val="21"/>
          <w:szCs w:val="21"/>
        </w:rPr>
        <w:t xml:space="preserve">［法人名］　［事業所名］</w:t>
      </w:r>
    </w:p>
    <w:p>
      <w:pPr>
        <w:jc w:val="right"/>
      </w:pPr>
      <w:r>
        <w:rPr>
          <w:rFonts w:ascii="游明朝" w:cs="游明朝" w:eastAsia="游明朝" w:hAnsi="游明朝"/>
          <w:sz w:val="21"/>
          <w:szCs w:val="21"/>
        </w:rPr>
        <w:t xml:space="preserve">管理者　</w:t>
      </w:r>
      <w:r>
        <w:rPr>
          <w:rFonts w:ascii="游明朝" w:cs="游明朝" w:eastAsia="游明朝" w:hAnsi="游明朝"/>
          <w:b/>
          <w:bCs/>
          <w:color w:val="B5651D"/>
          <w:sz w:val="21"/>
          <w:szCs w:val="21"/>
        </w:rPr>
        <w:t xml:space="preserve">［氏名］</w:t>
      </w:r>
    </w:p>
    <w:p>
      <w:pPr>
        <w:pageBreakBefore/>
      </w:pPr>
      <w:r>
        <w:br/>
        <w:t xml:space="preserve"/>
      </w:r>
    </w:p>
    <w:p>
      <w:pPr>
        <w:pStyle w:val="Heading1"/>
        <w:pBdr>
          <w:bottom w:val="single" w:color="2E5339" w:sz="8" w:space="4"/>
        </w:pBdr>
        <w:spacing w:after="160" w:before="320"/>
      </w:pPr>
      <w:r>
        <w:rPr>
          <w:rFonts w:ascii="游明朝" w:cs="游明朝" w:eastAsia="游明朝" w:hAnsi="游明朝"/>
          <w:b/>
          <w:bCs/>
          <w:color w:val="1F3B2C"/>
          <w:sz w:val="26"/>
          <w:szCs w:val="26"/>
        </w:rPr>
        <w:t xml:space="preserve">別紙　カスタマーハラスメント発生報告書</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dxa" w:w="2200"/>
            <w:shd w:fill="E7EEE9" w:val="clear"/>
            <w:tcMar>
              <w:top w:type="dxa" w:w="80"/>
              <w:left w:type="dxa" w:w="120"/>
              <w:bottom w:type="dxa" w:w="80"/>
              <w:right w:type="dxa" w:w="120"/>
            </w:tcMar>
            <w:vAlign w:val="center"/>
          </w:tcPr>
          <w:p>
            <w:r>
              <w:rPr>
                <w:rFonts w:ascii="游明朝" w:cs="游明朝" w:eastAsia="游明朝" w:hAnsi="游明朝"/>
                <w:b/>
                <w:bCs/>
                <w:sz w:val="20"/>
                <w:szCs w:val="20"/>
              </w:rPr>
              <w:t xml:space="preserve">発生日時</w:t>
            </w:r>
          </w:p>
        </w:tc>
        <w:tc>
          <w:tcPr>
            <w:tcW w:type="dxa" w:w="7150"/>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　　年　　月　　日（　）　　時　　分頃</w:t>
            </w:r>
          </w:p>
        </w:tc>
      </w:tr>
      <w:tr>
        <w:tc>
          <w:tcPr>
            <w:shd w:fill="E7EEE9" w:val="clear"/>
            <w:tcMar>
              <w:top w:type="dxa" w:w="80"/>
              <w:left w:type="dxa" w:w="120"/>
              <w:bottom w:type="dxa" w:w="80"/>
              <w:right w:type="dxa" w:w="120"/>
            </w:tcMar>
            <w:vAlign w:val="center"/>
          </w:tcPr>
          <w:p>
            <w:r>
              <w:rPr>
                <w:rFonts w:ascii="游明朝" w:cs="游明朝" w:eastAsia="游明朝" w:hAnsi="游明朝"/>
                <w:b/>
                <w:bCs/>
                <w:sz w:val="20"/>
                <w:szCs w:val="20"/>
              </w:rPr>
              <w:t xml:space="preserve">発生場所</w:t>
            </w:r>
          </w:p>
        </w:tc>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□訪問先　□電話　□事業所内　□その他（　　　　　）</w:t>
            </w:r>
          </w:p>
        </w:tc>
      </w:tr>
      <w:tr>
        <w:tc>
          <w:tcPr>
            <w:shd w:fill="E7EEE9" w:val="clear"/>
            <w:tcMar>
              <w:top w:type="dxa" w:w="80"/>
              <w:left w:type="dxa" w:w="120"/>
              <w:bottom w:type="dxa" w:w="80"/>
              <w:right w:type="dxa" w:w="120"/>
            </w:tcMar>
            <w:vAlign w:val="center"/>
          </w:tcPr>
          <w:p>
            <w:r>
              <w:rPr>
                <w:rFonts w:ascii="游明朝" w:cs="游明朝" w:eastAsia="游明朝" w:hAnsi="游明朝"/>
                <w:b/>
                <w:bCs/>
                <w:sz w:val="20"/>
                <w:szCs w:val="20"/>
              </w:rPr>
              <w:t xml:space="preserve">利用者名</w:t>
            </w:r>
          </w:p>
        </w:tc>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
            </w:r>
          </w:p>
        </w:tc>
      </w:tr>
      <w:tr>
        <w:tc>
          <w:tcPr>
            <w:shd w:fill="E7EEE9" w:val="clear"/>
            <w:tcMar>
              <w:top w:type="dxa" w:w="80"/>
              <w:left w:type="dxa" w:w="120"/>
              <w:bottom w:type="dxa" w:w="80"/>
              <w:right w:type="dxa" w:w="120"/>
            </w:tcMar>
            <w:vAlign w:val="center"/>
          </w:tcPr>
          <w:p>
            <w:r>
              <w:rPr>
                <w:rFonts w:ascii="游明朝" w:cs="游明朝" w:eastAsia="游明朝" w:hAnsi="游明朝"/>
                <w:b/>
                <w:bCs/>
                <w:sz w:val="20"/>
                <w:szCs w:val="20"/>
              </w:rPr>
              <w:t xml:space="preserve">対応した職員</w:t>
            </w:r>
          </w:p>
        </w:tc>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
            </w:r>
          </w:p>
        </w:tc>
      </w:tr>
      <w:tr>
        <w:tc>
          <w:tcPr>
            <w:shd w:fill="E7EEE9" w:val="clear"/>
            <w:tcMar>
              <w:top w:type="dxa" w:w="80"/>
              <w:left w:type="dxa" w:w="120"/>
              <w:bottom w:type="dxa" w:w="80"/>
              <w:right w:type="dxa" w:w="120"/>
            </w:tcMar>
            <w:vAlign w:val="center"/>
          </w:tcPr>
          <w:p>
            <w:r>
              <w:rPr>
                <w:rFonts w:ascii="游明朝" w:cs="游明朝" w:eastAsia="游明朝" w:hAnsi="游明朝"/>
                <w:b/>
                <w:bCs/>
                <w:sz w:val="20"/>
                <w:szCs w:val="20"/>
              </w:rPr>
              <w:t xml:space="preserve">行為者</w:t>
            </w:r>
          </w:p>
        </w:tc>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□利用者本人　□家族（続柄：　　　）　□その他（　　　　　）</w:t>
            </w:r>
          </w:p>
        </w:tc>
      </w:tr>
      <w:tr>
        <w:tc>
          <w:tcPr>
            <w:shd w:fill="E7EEE9" w:val="clear"/>
            <w:tcMar>
              <w:top w:type="dxa" w:w="80"/>
              <w:left w:type="dxa" w:w="120"/>
              <w:bottom w:type="dxa" w:w="80"/>
              <w:right w:type="dxa" w:w="120"/>
            </w:tcMar>
            <w:vAlign w:val="center"/>
          </w:tcPr>
          <w:p>
            <w:r>
              <w:rPr>
                <w:rFonts w:ascii="游明朝" w:cs="游明朝" w:eastAsia="游明朝" w:hAnsi="游明朝"/>
                <w:b/>
                <w:bCs/>
                <w:sz w:val="20"/>
                <w:szCs w:val="20"/>
              </w:rPr>
              <w:t xml:space="preserve">該当する類型</w:t>
            </w:r>
          </w:p>
        </w:tc>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□身体的暴力　□精神的暴力　□セクシュアルハラスメント
□過剰要求　□執拗なクレーム・拘束　□SNS等での攻撃　□その他</w:t>
            </w:r>
          </w:p>
        </w:tc>
      </w:tr>
      <w:tr>
        <w:tc>
          <w:tcPr>
            <w:shd w:fill="E7EEE9" w:val="clear"/>
            <w:tcMar>
              <w:top w:type="dxa" w:w="80"/>
              <w:left w:type="dxa" w:w="120"/>
              <w:bottom w:type="dxa" w:w="80"/>
              <w:right w:type="dxa" w:w="120"/>
            </w:tcMar>
            <w:vAlign w:val="center"/>
          </w:tcPr>
          <w:p>
            <w:r>
              <w:rPr>
                <w:rFonts w:ascii="游明朝" w:cs="游明朝" w:eastAsia="游明朝" w:hAnsi="游明朝"/>
                <w:b/>
                <w:bCs/>
                <w:sz w:val="20"/>
                <w:szCs w:val="20"/>
              </w:rPr>
              <w:t xml:space="preserve">具体的な内容</w:t>
            </w:r>
          </w:p>
        </w:tc>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
            </w:r>
          </w:p>
        </w:tc>
      </w:tr>
      <w:tr>
        <w:tc>
          <w:tcPr>
            <w:shd w:fill="E7EEE9" w:val="clear"/>
            <w:tcMar>
              <w:top w:type="dxa" w:w="80"/>
              <w:left w:type="dxa" w:w="120"/>
              <w:bottom w:type="dxa" w:w="80"/>
              <w:right w:type="dxa" w:w="120"/>
            </w:tcMar>
            <w:vAlign w:val="center"/>
          </w:tcPr>
          <w:p>
            <w:r>
              <w:rPr>
                <w:rFonts w:ascii="游明朝" w:cs="游明朝" w:eastAsia="游明朝" w:hAnsi="游明朝"/>
                <w:b/>
                <w:bCs/>
                <w:sz w:val="20"/>
                <w:szCs w:val="20"/>
              </w:rPr>
              <w:t xml:space="preserve">ＢＰＳＤ等の
可能性</w:t>
            </w:r>
          </w:p>
        </w:tc>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□なし　□あり（主治医・地域包括への確認：　　　　　　　　　）</w:t>
            </w:r>
          </w:p>
        </w:tc>
      </w:tr>
      <w:tr>
        <w:tc>
          <w:tcPr>
            <w:shd w:fill="E7EEE9" w:val="clear"/>
            <w:tcMar>
              <w:top w:type="dxa" w:w="80"/>
              <w:left w:type="dxa" w:w="120"/>
              <w:bottom w:type="dxa" w:w="80"/>
              <w:right w:type="dxa" w:w="120"/>
            </w:tcMar>
            <w:vAlign w:val="center"/>
          </w:tcPr>
          <w:p>
            <w:r>
              <w:rPr>
                <w:rFonts w:ascii="游明朝" w:cs="游明朝" w:eastAsia="游明朝" w:hAnsi="游明朝"/>
                <w:b/>
                <w:bCs/>
                <w:sz w:val="20"/>
                <w:szCs w:val="20"/>
              </w:rPr>
              <w:t xml:space="preserve">初期対応の内容</w:t>
            </w:r>
          </w:p>
        </w:tc>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
            </w:r>
          </w:p>
        </w:tc>
      </w:tr>
      <w:tr>
        <w:tc>
          <w:tcPr>
            <w:shd w:fill="E7EEE9" w:val="clear"/>
            <w:tcMar>
              <w:top w:type="dxa" w:w="80"/>
              <w:left w:type="dxa" w:w="120"/>
              <w:bottom w:type="dxa" w:w="80"/>
              <w:right w:type="dxa" w:w="120"/>
            </w:tcMar>
            <w:vAlign w:val="center"/>
          </w:tcPr>
          <w:p>
            <w:r>
              <w:rPr>
                <w:rFonts w:ascii="游明朝" w:cs="游明朝" w:eastAsia="游明朝" w:hAnsi="游明朝"/>
                <w:b/>
                <w:bCs/>
                <w:sz w:val="20"/>
                <w:szCs w:val="20"/>
              </w:rPr>
              <w:t xml:space="preserve">管理者所見</w:t>
            </w:r>
          </w:p>
        </w:tc>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
            </w:r>
          </w:p>
        </w:tc>
      </w:tr>
      <w:tr>
        <w:tc>
          <w:tcPr>
            <w:shd w:fill="E7EEE9" w:val="clear"/>
            <w:tcMar>
              <w:top w:type="dxa" w:w="80"/>
              <w:left w:type="dxa" w:w="120"/>
              <w:bottom w:type="dxa" w:w="80"/>
              <w:right w:type="dxa" w:w="120"/>
            </w:tcMar>
            <w:vAlign w:val="center"/>
          </w:tcPr>
          <w:p>
            <w:r>
              <w:rPr>
                <w:rFonts w:ascii="游明朝" w:cs="游明朝" w:eastAsia="游明朝" w:hAnsi="游明朝"/>
                <w:b/>
                <w:bCs/>
                <w:sz w:val="20"/>
                <w:szCs w:val="20"/>
              </w:rPr>
              <w:t xml:space="preserve">今後の対応方針</w:t>
            </w:r>
          </w:p>
        </w:tc>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□複数名対応へ変更　□担当変更　□市町村・国保連へ相談
□警察へ相談　□契約解除の検討　□その他（　　　　　）</w:t>
            </w:r>
          </w:p>
        </w:tc>
      </w:tr>
      <w:tr>
        <w:tc>
          <w:tcPr>
            <w:shd w:fill="E7EEE9" w:val="clear"/>
            <w:tcMar>
              <w:top w:type="dxa" w:w="80"/>
              <w:left w:type="dxa" w:w="120"/>
              <w:bottom w:type="dxa" w:w="80"/>
              <w:right w:type="dxa" w:w="120"/>
            </w:tcMar>
            <w:vAlign w:val="center"/>
          </w:tcPr>
          <w:p>
            <w:r>
              <w:rPr>
                <w:rFonts w:ascii="游明朝" w:cs="游明朝" w:eastAsia="游明朝" w:hAnsi="游明朝"/>
                <w:b/>
                <w:bCs/>
                <w:sz w:val="20"/>
                <w:szCs w:val="20"/>
              </w:rPr>
              <w:t xml:space="preserve">報告日・報告者</w:t>
            </w:r>
          </w:p>
        </w:tc>
        <w:tc>
          <w:tcPr>
            <w:tcMar>
              <w:top w:type="dxa" w:w="80"/>
              <w:left w:type="dxa" w:w="120"/>
              <w:bottom w:type="dxa" w:w="80"/>
              <w:right w:type="dxa" w:w="120"/>
            </w:tcMar>
            <w:vAlign w:val="center"/>
          </w:tcPr>
          <w:p>
            <w:r>
              <w:rPr>
                <w:rFonts w:ascii="游明朝" w:cs="游明朝" w:eastAsia="游明朝" w:hAnsi="游明朝"/>
                <w:b w:val="false"/>
                <w:bCs w:val="false"/>
                <w:sz w:val="20"/>
                <w:szCs w:val="20"/>
              </w:rPr>
              <w:t xml:space="preserve">　　年　　月　　日　　報告者：</w:t>
            </w:r>
          </w:p>
        </w:tc>
      </w:tr>
    </w:tbl>
    <w:sectPr>
      <w:pgSz w:w="11906" w:h="16838" w:orient="portrait"/>
      <w:pgMar w:top="1100" w:right="1100" w:bottom="11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2026-07-10T06:47:59.128Z</dcterms:created>
  <dcterms:modified xsi:type="dcterms:W3CDTF">2026-07-10T06:47:59.147Z</dcterms:modified>
</cp:coreProperties>
</file>

<file path=docProps/custom.xml><?xml version="1.0" encoding="utf-8"?>
<Properties xmlns="http://schemas.openxmlformats.org/officeDocument/2006/custom-properties" xmlns:vt="http://schemas.openxmlformats.org/officeDocument/2006/docPropsVTypes"/>
</file>